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765" w:tblpY="2161"/>
        <w:tblOverlap w:val="never"/>
        <w:tblW w:w="10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620"/>
        <w:gridCol w:w="1910"/>
        <w:gridCol w:w="4550"/>
        <w:gridCol w:w="850"/>
        <w:gridCol w:w="5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4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>广告宣传业务项目评比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分值构成（总分100分）</w:t>
            </w:r>
          </w:p>
        </w:tc>
        <w:tc>
          <w:tcPr>
            <w:tcW w:w="831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（1）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eastAsia="zh-CN"/>
              </w:rPr>
              <w:t>商务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部分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分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（2）技术部分：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5分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（3）报价部分：30分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条款号及名称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评审因素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评分标准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分值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BNPDMV+MicrosoftYaHei"/>
                <w:color w:val="221E1F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（1）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eastAsia="zh-CN"/>
              </w:rPr>
              <w:t>商务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评分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标准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48" w:line="400" w:lineRule="exact"/>
              <w:ind w:left="102" w:leftChars="0"/>
              <w:jc w:val="center"/>
              <w:rPr>
                <w:rFonts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>企业业绩情况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BNPDMV+MicrosoftYaHei"/>
                <w:color w:val="221E1F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同类业绩证明（以合同为准），合同中必须能清楚地反映出合同首页、合同金额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日期、签字盖章页）进行评审，每提供1份得3分，最高15分。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15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BNPDMV+MicrosoftYaHei"/>
                <w:color w:val="221E1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>企业财务状况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由</w:t>
            </w:r>
            <w:r>
              <w:rPr>
                <w:rFonts w:hint="eastAsia" w:ascii="宋体" w:hAnsi="宋体" w:cs="华文中宋"/>
                <w:sz w:val="22"/>
                <w:szCs w:val="22"/>
                <w:lang w:eastAsia="zh-CN"/>
              </w:rPr>
              <w:t>具备审计资格的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会计师事务所出具的</w:t>
            </w:r>
            <w:r>
              <w:rPr>
                <w:rFonts w:hint="eastAsia" w:ascii="宋体" w:hAnsi="宋体" w:cs="华文中宋"/>
                <w:sz w:val="22"/>
                <w:szCs w:val="22"/>
                <w:lang w:eastAsia="zh-CN"/>
              </w:rPr>
              <w:t>近两年内的年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度财务审计报告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BNPDMV+MicrosoftYaHei"/>
                <w:color w:val="221E1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BNPDMV+MicrosoftYaHei"/>
                <w:color w:val="221E1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>企业基本情况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rPr>
                <w:rFonts w:hint="eastAsia" w:ascii="宋体" w:hAnsi="宋体" w:eastAsia="宋体" w:cs="华文中宋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响应文件递交截止日期</w:t>
            </w:r>
            <w:r>
              <w:rPr>
                <w:rFonts w:hint="eastAsia" w:ascii="宋体" w:hAnsi="宋体" w:cs="华文中宋"/>
                <w:sz w:val="22"/>
                <w:szCs w:val="22"/>
                <w:lang w:eastAsia="zh-CN"/>
              </w:rPr>
              <w:t>一年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内任意一次缴纳税收(增值税、企业所得税任意一种)的凭据</w:t>
            </w:r>
            <w:r>
              <w:rPr>
                <w:rFonts w:hint="eastAsia" w:ascii="宋体" w:hAnsi="宋体" w:cs="华文中宋"/>
                <w:sz w:val="22"/>
                <w:szCs w:val="22"/>
                <w:lang w:eastAsia="zh-CN"/>
              </w:rPr>
              <w:t>；</w:t>
            </w:r>
          </w:p>
          <w:p>
            <w:pP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响应文件递交截止日期</w:t>
            </w:r>
            <w:r>
              <w:rPr>
                <w:rFonts w:hint="eastAsia" w:ascii="宋体" w:hAnsi="宋体" w:cs="华文中宋"/>
                <w:sz w:val="22"/>
                <w:szCs w:val="22"/>
                <w:lang w:eastAsia="zh-CN"/>
              </w:rPr>
              <w:t>一年内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最近一次缴纳社会保险(养老保险、医疗保险、工伤保险、失业保险任意一种)的凭据；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BNPDMV+MicrosoftYaHei"/>
                <w:color w:val="221E1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（2）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技术评分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标准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48" w:line="400" w:lineRule="exact"/>
              <w:ind w:left="102" w:leftChars="0"/>
              <w:jc w:val="center"/>
              <w:rPr>
                <w:rFonts w:hint="default" w:ascii="宋体" w:hAnsi="宋体" w:eastAsia="宋体" w:cs="BNPDMV+MicrosoftYaHei"/>
                <w:color w:val="221E1F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>服务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计划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>或方案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BNPDMV+MicrosoftYaHei"/>
                <w:color w:val="221E1F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根据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eastAsia="zh-CN"/>
              </w:rPr>
              <w:t>校企合作服务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计划的合理性可行性进行综合评审。好</w:t>
            </w:r>
            <w:r>
              <w:rPr>
                <w:rFonts w:ascii="宋体" w:hAnsi="宋体" w:cs="BNPDMV+MicrosoftYaHei"/>
                <w:color w:val="221E1F"/>
                <w:sz w:val="22"/>
                <w:szCs w:val="22"/>
              </w:rPr>
              <w:t>15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-1</w:t>
            </w:r>
            <w:r>
              <w:rPr>
                <w:rFonts w:ascii="宋体" w:hAnsi="宋体" w:cs="BNPDMV+MicrosoftYaHei"/>
                <w:color w:val="221E1F"/>
                <w:sz w:val="22"/>
                <w:szCs w:val="22"/>
              </w:rPr>
              <w:t>1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分，中1</w:t>
            </w:r>
            <w:r>
              <w:rPr>
                <w:rFonts w:ascii="宋体" w:hAnsi="宋体" w:cs="BNPDMV+MicrosoftYaHei"/>
                <w:color w:val="221E1F"/>
                <w:sz w:val="22"/>
                <w:szCs w:val="22"/>
              </w:rPr>
              <w:t>0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-</w:t>
            </w:r>
            <w:r>
              <w:rPr>
                <w:rFonts w:ascii="宋体" w:hAnsi="宋体" w:cs="BNPDMV+MicrosoftYaHei"/>
                <w:color w:val="221E1F"/>
                <w:sz w:val="22"/>
                <w:szCs w:val="22"/>
              </w:rPr>
              <w:t>5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分，差</w:t>
            </w:r>
            <w:r>
              <w:rPr>
                <w:rFonts w:ascii="宋体" w:hAnsi="宋体" w:cs="BNPDMV+MicrosoftYaHei"/>
                <w:color w:val="221E1F"/>
                <w:sz w:val="22"/>
                <w:szCs w:val="22"/>
              </w:rPr>
              <w:t>4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-0分。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BNPDMV+MicrosoftYaHei"/>
                <w:color w:val="221E1F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15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02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应急方案及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>质量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保障措施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pStyle w:val="8"/>
              <w:framePr w:hSpace="0" w:wrap="auto" w:vAnchor="margin" w:hAnchor="text" w:yAlign="inline"/>
              <w:rPr>
                <w:rFonts w:ascii="宋体" w:hAnsi="宋体" w:cs="BNPDMV+MicrosoftYaHei"/>
                <w:color w:val="221E1F"/>
                <w:kern w:val="2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kern w:val="2"/>
                <w:sz w:val="22"/>
                <w:szCs w:val="22"/>
              </w:rPr>
              <w:t>根据</w:t>
            </w:r>
            <w:r>
              <w:rPr>
                <w:rFonts w:hint="eastAsia" w:ascii="宋体" w:hAnsi="宋体" w:cs="BNPDMV+MicrosoftYaHei"/>
                <w:color w:val="221E1F"/>
                <w:kern w:val="2"/>
                <w:sz w:val="22"/>
                <w:szCs w:val="22"/>
                <w:lang w:eastAsia="zh-CN"/>
              </w:rPr>
              <w:t>应急</w:t>
            </w:r>
            <w:r>
              <w:rPr>
                <w:rFonts w:hint="eastAsia" w:ascii="宋体" w:hAnsi="宋体" w:cs="BNPDMV+MicrosoftYaHei"/>
                <w:color w:val="221E1F"/>
                <w:kern w:val="2"/>
                <w:sz w:val="22"/>
                <w:szCs w:val="22"/>
              </w:rPr>
              <w:t>方案及保障措施进行综合评审，好10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-</w:t>
            </w:r>
            <w:r>
              <w:rPr>
                <w:rFonts w:hint="eastAsia" w:ascii="宋体" w:hAnsi="宋体" w:cs="BNPDMV+MicrosoftYaHei"/>
                <w:color w:val="221E1F"/>
                <w:kern w:val="2"/>
                <w:sz w:val="22"/>
                <w:szCs w:val="22"/>
              </w:rPr>
              <w:t>7分，中6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-</w:t>
            </w:r>
            <w:r>
              <w:rPr>
                <w:rFonts w:hint="eastAsia" w:ascii="宋体" w:hAnsi="宋体" w:cs="BNPDMV+MicrosoftYaHei"/>
                <w:color w:val="221E1F"/>
                <w:kern w:val="2"/>
                <w:sz w:val="22"/>
                <w:szCs w:val="22"/>
              </w:rPr>
              <w:t>4分，差3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-</w:t>
            </w:r>
            <w:r>
              <w:rPr>
                <w:rFonts w:hint="eastAsia" w:ascii="宋体" w:hAnsi="宋体" w:cs="BNPDMV+MicrosoftYaHei"/>
                <w:color w:val="221E1F"/>
                <w:kern w:val="2"/>
                <w:sz w:val="22"/>
                <w:szCs w:val="22"/>
              </w:rPr>
              <w:t>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10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02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售后服务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pStyle w:val="8"/>
              <w:framePr w:hSpace="0" w:wrap="auto" w:vAnchor="margin" w:hAnchor="text" w:yAlign="inline"/>
              <w:rPr>
                <w:rFonts w:ascii="宋体" w:hAnsi="宋体" w:cs="BNPDMV+MicrosoftYaHei"/>
                <w:color w:val="221E1F"/>
                <w:kern w:val="2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kern w:val="2"/>
                <w:sz w:val="22"/>
                <w:szCs w:val="22"/>
              </w:rPr>
              <w:t>根据售后服务承诺措施进行综合评审，好10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-</w:t>
            </w:r>
            <w:r>
              <w:rPr>
                <w:rFonts w:hint="eastAsia" w:ascii="宋体" w:hAnsi="宋体" w:cs="BNPDMV+MicrosoftYaHei"/>
                <w:color w:val="221E1F"/>
                <w:kern w:val="2"/>
                <w:sz w:val="22"/>
                <w:szCs w:val="22"/>
              </w:rPr>
              <w:t>7分，中6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-</w:t>
            </w:r>
            <w:r>
              <w:rPr>
                <w:rFonts w:hint="eastAsia" w:ascii="宋体" w:hAnsi="宋体" w:cs="BNPDMV+MicrosoftYaHei"/>
                <w:color w:val="221E1F"/>
                <w:kern w:val="2"/>
                <w:sz w:val="22"/>
                <w:szCs w:val="22"/>
              </w:rPr>
              <w:t>4分，差3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-</w:t>
            </w:r>
            <w:r>
              <w:rPr>
                <w:rFonts w:hint="eastAsia" w:ascii="宋体" w:hAnsi="宋体" w:cs="BNPDMV+MicrosoftYaHei"/>
                <w:color w:val="221E1F"/>
                <w:kern w:val="2"/>
                <w:sz w:val="22"/>
                <w:szCs w:val="22"/>
              </w:rPr>
              <w:t>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10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（3）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报价评分标准</w:t>
            </w:r>
          </w:p>
        </w:tc>
        <w:tc>
          <w:tcPr>
            <w:tcW w:w="64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BNPDMV+MicrosoftYaHei"/>
                <w:color w:val="221E1F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  <w:t>根据供应商的报价，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eastAsia="zh-CN"/>
              </w:rPr>
              <w:t>结合广告业务实际情况，进行综合评审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BNPDMV+MicrosoftYaHei"/>
                <w:color w:val="221E1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BNPDMV+MicrosoftYaHei"/>
                <w:color w:val="221E1F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val="en-US" w:eastAsia="zh-CN"/>
              </w:rPr>
              <w:t>广告宣传业务项目</w:t>
            </w: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eastAsia="zh-CN"/>
              </w:rPr>
              <w:t>得分</w:t>
            </w:r>
          </w:p>
        </w:tc>
        <w:tc>
          <w:tcPr>
            <w:tcW w:w="831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BNPDMV+MicrosoftYaHei"/>
                <w:color w:val="221E1F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BNPDMV+MicrosoftYaHei"/>
                <w:color w:val="221E1F"/>
                <w:sz w:val="22"/>
                <w:szCs w:val="22"/>
                <w:lang w:eastAsia="zh-CN"/>
              </w:rPr>
              <w:t>最终得分</w:t>
            </w:r>
          </w:p>
        </w:tc>
        <w:tc>
          <w:tcPr>
            <w:tcW w:w="831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BNPDMV+MicrosoftYaHei"/>
                <w:color w:val="221E1F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7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cs="BNPDMV+MicrosoftYaHei"/>
                <w:color w:val="221E1F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221E1F"/>
                <w:sz w:val="22"/>
                <w:szCs w:val="22"/>
                <w:lang w:eastAsia="zh-CN"/>
              </w:rPr>
              <w:t>备注：最终得分由</w:t>
            </w:r>
            <w:r>
              <w:rPr>
                <w:rFonts w:hint="eastAsia" w:ascii="宋体" w:hAnsi="宋体" w:eastAsia="宋体" w:cs="宋体"/>
                <w:color w:val="221E1F"/>
                <w:sz w:val="22"/>
                <w:szCs w:val="22"/>
                <w:lang w:val="en-US" w:eastAsia="zh-CN"/>
              </w:rPr>
              <w:t>实训基地委托经营项目得分和广告宣传业务项目得分两项组成，其中实训基地委托经营项目得分占比60%，广告宣传业务项目</w:t>
            </w:r>
            <w:r>
              <w:rPr>
                <w:rFonts w:hint="eastAsia" w:ascii="宋体" w:hAnsi="宋体" w:eastAsia="宋体" w:cs="宋体"/>
                <w:color w:val="221E1F"/>
                <w:sz w:val="22"/>
                <w:szCs w:val="22"/>
                <w:lang w:eastAsia="zh-CN"/>
              </w:rPr>
              <w:t>得分占比</w:t>
            </w:r>
            <w:r>
              <w:rPr>
                <w:rFonts w:hint="eastAsia" w:ascii="宋体" w:hAnsi="宋体" w:eastAsia="宋体" w:cs="宋体"/>
                <w:color w:val="221E1F"/>
                <w:sz w:val="22"/>
                <w:szCs w:val="22"/>
                <w:lang w:val="en-US" w:eastAsia="zh-CN"/>
              </w:rPr>
              <w:t>40%；实训基地委托经营项目得分=100/最高报价*具体报价。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528" w:lineRule="exact"/>
        <w:ind w:left="-840" w:leftChars="-400" w:firstLine="0" w:firstLineChars="0"/>
        <w:jc w:val="both"/>
        <w:textAlignment w:val="auto"/>
        <w:rPr>
          <w:rFonts w:hint="default" w:ascii="BNPDMV+MicrosoftYaHei" w:hAnsi="BNPDMV+MicrosoftYaHei" w:eastAsia="宋体" w:cs="BNPDMV+MicrosoftYaHei"/>
          <w:color w:val="221E1F"/>
          <w:sz w:val="24"/>
          <w:szCs w:val="18"/>
          <w:u w:val="single"/>
          <w:lang w:val="en-US" w:eastAsia="zh-CN"/>
        </w:rPr>
      </w:pPr>
      <w:r>
        <w:rPr>
          <w:rFonts w:hint="eastAsia" w:ascii="BNPDMV+MicrosoftYaHei" w:hAnsi="BNPDMV+MicrosoftYaHei" w:cs="BNPDMV+MicrosoftYaHei"/>
          <w:color w:val="221E1F"/>
          <w:sz w:val="24"/>
          <w:szCs w:val="18"/>
          <w:lang w:eastAsia="zh-CN"/>
        </w:rPr>
        <w:t>单位名称：</w:t>
      </w:r>
      <w:r>
        <w:rPr>
          <w:rFonts w:hint="eastAsia" w:ascii="BNPDMV+MicrosoftYaHei" w:hAnsi="BNPDMV+MicrosoftYaHei" w:cs="BNPDMV+MicrosoftYaHei"/>
          <w:color w:val="221E1F"/>
          <w:sz w:val="24"/>
          <w:szCs w:val="18"/>
          <w:u w:val="single"/>
          <w:lang w:val="en-US" w:eastAsia="zh-CN"/>
        </w:rPr>
        <w:t xml:space="preserve">                   </w:t>
      </w:r>
    </w:p>
    <w:p>
      <w:pPr>
        <w:pStyle w:val="2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NPDMV+MicrosoftYaHei">
    <w:altName w:val="NumberOnly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b/>
        <w:bCs/>
        <w:sz w:val="36"/>
        <w:szCs w:val="36"/>
        <w:lang w:eastAsia="zh-CN"/>
      </w:rPr>
    </w:pPr>
    <w:r>
      <w:rPr>
        <w:rFonts w:hint="eastAsia"/>
        <w:b/>
        <w:bCs/>
        <w:sz w:val="36"/>
        <w:szCs w:val="36"/>
        <w:lang w:eastAsia="zh-CN"/>
      </w:rPr>
      <w:t>广告专业实训基地校企合作询比评分表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333F4"/>
    <w:rsid w:val="006B7220"/>
    <w:rsid w:val="0F6F53B2"/>
    <w:rsid w:val="1D006695"/>
    <w:rsid w:val="20415484"/>
    <w:rsid w:val="277879C7"/>
    <w:rsid w:val="277A474E"/>
    <w:rsid w:val="2F7736DF"/>
    <w:rsid w:val="371B0262"/>
    <w:rsid w:val="3EEA0446"/>
    <w:rsid w:val="3FA03CA5"/>
    <w:rsid w:val="403868B5"/>
    <w:rsid w:val="565902AD"/>
    <w:rsid w:val="741333F4"/>
    <w:rsid w:val="773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表格文字"/>
    <w:next w:val="1"/>
    <w:qFormat/>
    <w:uiPriority w:val="99"/>
    <w:pPr>
      <w:framePr w:hSpace="180" w:wrap="around" w:vAnchor="text" w:hAnchor="margin" w:y="158"/>
    </w:pPr>
    <w:rPr>
      <w:rFonts w:ascii="Calibri" w:hAnsi="Calibri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2021-12-25T03:08:00Z</dcterms:created>
  <dc:creator>颂辉广告</dc:creator>
  <cp:lastModifiedBy>Administrator</cp:lastModifiedBy>
  <dcterms:modified xsi:type="dcterms:W3CDTF">2022-01-10T03:40:58Z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EDEA280EB3DA4F5DA06B1905770C79B7</vt:lpwstr>
  </property>
</Properties>
</file>